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B46E" w14:textId="77777777" w:rsidR="00FF2F7C" w:rsidRDefault="00FF2F7C" w:rsidP="00FF2F7C">
      <w:pPr>
        <w:numPr>
          <w:ilvl w:val="0"/>
          <w:numId w:val="1"/>
        </w:numPr>
        <w:spacing w:after="266" w:line="251" w:lineRule="auto"/>
        <w:ind w:hanging="180"/>
        <w:jc w:val="left"/>
      </w:pPr>
      <w:r>
        <w:rPr>
          <w:b/>
        </w:rPr>
        <w:t xml:space="preserve">- Motion de soutien pour la liberté locale et les moyens d'agir </w:t>
      </w:r>
      <w:proofErr w:type="gramStart"/>
      <w:r>
        <w:rPr>
          <w:b/>
        </w:rPr>
        <w:t>des communes proposée</w:t>
      </w:r>
      <w:proofErr w:type="gramEnd"/>
      <w:r>
        <w:rPr>
          <w:b/>
        </w:rPr>
        <w:t xml:space="preserve"> par l'Association des Maires de France</w:t>
      </w:r>
    </w:p>
    <w:p w14:paraId="0DBBBCE0" w14:textId="77777777" w:rsidR="00FF2F7C" w:rsidRDefault="00FF2F7C" w:rsidP="00FF2F7C">
      <w:pPr>
        <w:ind w:left="0" w:firstLine="0"/>
      </w:pPr>
      <w:r>
        <w:t>Monsieur le Maire fait lecture de la motion proposée par l'</w:t>
      </w:r>
      <w:proofErr w:type="spellStart"/>
      <w:r>
        <w:t>Associaton</w:t>
      </w:r>
      <w:proofErr w:type="spellEnd"/>
      <w:r>
        <w:t xml:space="preserve"> des Maires de France :</w:t>
      </w:r>
    </w:p>
    <w:p w14:paraId="764999D7" w14:textId="77777777" w:rsidR="00FF2F7C" w:rsidRDefault="00FF2F7C" w:rsidP="00FF2F7C">
      <w:pPr>
        <w:ind w:left="0" w:firstLine="0"/>
      </w:pPr>
      <w:r>
        <w:t xml:space="preserve">La liberté locale est la condition d’une démocratie vivante et d’une action publique efficace. Or la liberté locale, et les moyens dont disposent les collectivités pour mettre en œuvre leurs politiques à destination des habitants, sont mis à mal par un Etat toujours plus centralisateur, qui ne se réforme pas. </w:t>
      </w:r>
      <w:r>
        <w:rPr>
          <w:b/>
        </w:rPr>
        <w:t>Ce centralisme, qui éloigne la décision et l’action publiques des citoyens, est pourtant l’une des causes des problèmes du pays, y compris des finances publiques.</w:t>
      </w:r>
    </w:p>
    <w:p w14:paraId="009FBD5A" w14:textId="77777777" w:rsidR="00FF2F7C" w:rsidRDefault="00FF2F7C" w:rsidP="00FF2F7C">
      <w:pPr>
        <w:ind w:left="0" w:firstLine="0"/>
      </w:pPr>
      <w:r>
        <w:t xml:space="preserve">À l’occasion du 107e Congrès des maires, l’Association des Maires de France et des présidents d’intercommunalité a lancé un appel à la liberté locale, à partir de principes qui en garantissent l’effectivité, ainsi que de propositions concrètes. </w:t>
      </w:r>
      <w:r>
        <w:rPr>
          <w:b/>
        </w:rPr>
        <w:t>La commune de BISEL partage ces propositions pour redonner immédiatement du pouvoir d’agir aux communes et intercommunalités</w:t>
      </w:r>
      <w:r>
        <w:t>, par :</w:t>
      </w:r>
    </w:p>
    <w:p w14:paraId="0B2FDD12" w14:textId="77777777" w:rsidR="00FF2F7C" w:rsidRDefault="00FF2F7C" w:rsidP="00FF2F7C">
      <w:pPr>
        <w:spacing w:after="15"/>
        <w:ind w:left="715"/>
      </w:pPr>
      <w:r>
        <w:rPr>
          <w:rFonts w:ascii="Calibri" w:eastAsia="Calibri" w:hAnsi="Calibri" w:cs="Calibri"/>
        </w:rPr>
        <w:t xml:space="preserve">̶ </w:t>
      </w:r>
      <w:r>
        <w:rPr>
          <w:b/>
        </w:rPr>
        <w:t>La libre administration des collectivités</w:t>
      </w:r>
      <w:r>
        <w:t>. Elle implique de renoncer à toute tutelle de l’Etat ou d’une autre collectivité ;</w:t>
      </w:r>
    </w:p>
    <w:p w14:paraId="4640B7EF" w14:textId="77777777" w:rsidR="00FF2F7C" w:rsidRDefault="00FF2F7C" w:rsidP="00FF2F7C">
      <w:pPr>
        <w:spacing w:after="15"/>
        <w:ind w:left="715"/>
      </w:pPr>
      <w:r>
        <w:rPr>
          <w:rFonts w:ascii="Calibri" w:eastAsia="Calibri" w:hAnsi="Calibri" w:cs="Calibri"/>
        </w:rPr>
        <w:t xml:space="preserve">̶ </w:t>
      </w:r>
      <w:r>
        <w:rPr>
          <w:b/>
        </w:rPr>
        <w:t>L’autonomie financière et fiscale</w:t>
      </w:r>
      <w:r>
        <w:t>, donc la compensation intégrale des compétences transférées et la redéfinition des ressources propres qui doivent être prépondérantes dans les ressources des collectivités ;</w:t>
      </w:r>
    </w:p>
    <w:p w14:paraId="3BDD1A3D" w14:textId="77777777" w:rsidR="00FF2F7C" w:rsidRDefault="00FF2F7C" w:rsidP="00FF2F7C">
      <w:pPr>
        <w:ind w:left="715"/>
      </w:pPr>
      <w:r>
        <w:rPr>
          <w:rFonts w:ascii="Calibri" w:eastAsia="Calibri" w:hAnsi="Calibri" w:cs="Calibri"/>
        </w:rPr>
        <w:t xml:space="preserve">̶ </w:t>
      </w:r>
      <w:r>
        <w:rPr>
          <w:b/>
        </w:rPr>
        <w:t>La subsidiarité</w:t>
      </w:r>
      <w:r>
        <w:t>, qui confie par principe à l’échelon le plus proche du citoyen le pouvoir de décision. Pour les communes, la subsidiarité implique la protection de la clause de compétence générale. Le respect de la subsidiarité exclut également toute « différenciation » des compétences entre collectivités d’une même catégorie.</w:t>
      </w:r>
    </w:p>
    <w:p w14:paraId="2C446031" w14:textId="77777777" w:rsidR="00FF2F7C" w:rsidRDefault="00FF2F7C" w:rsidP="00FF2F7C">
      <w:pPr>
        <w:spacing w:after="183" w:line="251" w:lineRule="auto"/>
        <w:ind w:left="-5" w:hanging="10"/>
        <w:jc w:val="left"/>
      </w:pPr>
      <w:r>
        <w:rPr>
          <w:b/>
        </w:rPr>
        <w:t>La commune de BISEL s’oppose à toute mesure qui contreviendrait à ces principes fondamentaux.</w:t>
      </w:r>
    </w:p>
    <w:p w14:paraId="562AFCF5" w14:textId="77777777" w:rsidR="00FF2F7C" w:rsidRDefault="00FF2F7C" w:rsidP="00FF2F7C">
      <w:pPr>
        <w:ind w:left="0" w:firstLine="0"/>
      </w:pPr>
      <w:r>
        <w:t xml:space="preserve">Par ailleurs, pour retrouver du pouvoir d’agir immédiatement, </w:t>
      </w:r>
      <w:r>
        <w:rPr>
          <w:b/>
        </w:rPr>
        <w:t xml:space="preserve">la commune soutient les propositions de l’AMF sur </w:t>
      </w:r>
      <w:r>
        <w:t>:</w:t>
      </w:r>
    </w:p>
    <w:p w14:paraId="4A3735F2" w14:textId="77777777" w:rsidR="00FF2F7C" w:rsidRDefault="00FF2F7C" w:rsidP="00FF2F7C">
      <w:pPr>
        <w:spacing w:after="15"/>
        <w:ind w:left="715"/>
      </w:pPr>
      <w:r>
        <w:rPr>
          <w:rFonts w:ascii="Calibri" w:eastAsia="Calibri" w:hAnsi="Calibri" w:cs="Calibri"/>
        </w:rPr>
        <w:t xml:space="preserve">̶ </w:t>
      </w:r>
      <w:r>
        <w:t xml:space="preserve">Le </w:t>
      </w:r>
      <w:r>
        <w:rPr>
          <w:b/>
        </w:rPr>
        <w:t xml:space="preserve">pouvoir règlementaire </w:t>
      </w:r>
      <w:r>
        <w:t>local, pour adapter les textes aux réalités locales et alléger le poids des normes nationales ;</w:t>
      </w:r>
    </w:p>
    <w:p w14:paraId="431D50D1" w14:textId="77777777" w:rsidR="00FF2F7C" w:rsidRDefault="00FF2F7C" w:rsidP="00FF2F7C">
      <w:pPr>
        <w:spacing w:after="15"/>
        <w:ind w:left="715"/>
      </w:pPr>
      <w:r>
        <w:rPr>
          <w:rFonts w:ascii="Calibri" w:eastAsia="Calibri" w:hAnsi="Calibri" w:cs="Calibri"/>
        </w:rPr>
        <w:t xml:space="preserve">̶ </w:t>
      </w:r>
      <w:r>
        <w:rPr>
          <w:b/>
        </w:rPr>
        <w:t xml:space="preserve">Un moratoire sur toute nouvelle contrainte </w:t>
      </w:r>
      <w:r>
        <w:t>qui réduirait les moyens d’action des communes ;</w:t>
      </w:r>
    </w:p>
    <w:p w14:paraId="56B23BD7" w14:textId="77777777" w:rsidR="00FF2F7C" w:rsidRDefault="00FF2F7C" w:rsidP="00FF2F7C">
      <w:pPr>
        <w:ind w:left="715"/>
      </w:pPr>
      <w:r>
        <w:rPr>
          <w:rFonts w:ascii="Calibri" w:eastAsia="Calibri" w:hAnsi="Calibri" w:cs="Calibri"/>
        </w:rPr>
        <w:t xml:space="preserve">̶ </w:t>
      </w:r>
      <w:r>
        <w:rPr>
          <w:b/>
        </w:rPr>
        <w:t>Une réduction des normes et un allègement des procédures inutilement complexes et coûteuses</w:t>
      </w:r>
      <w:r>
        <w:t>, notamment en termes d’urbanisme et de commande publique, afin de débloquer les projets. Faire un projet devrait être plus simple, plus rapide et moins onéreux en 2025 qu’il y a 20 ans, et pourtant, c’est l’inverse qui se produit.</w:t>
      </w:r>
    </w:p>
    <w:p w14:paraId="0EAE7FC0" w14:textId="77777777" w:rsidR="00FF2F7C" w:rsidRDefault="00FF2F7C" w:rsidP="00FF2F7C">
      <w:pPr>
        <w:ind w:left="0" w:firstLine="0"/>
      </w:pPr>
      <w:r>
        <w:t xml:space="preserve">Enfin, le </w:t>
      </w:r>
      <w:r>
        <w:rPr>
          <w:b/>
        </w:rPr>
        <w:t>pouvoir d’agir implique des moyens</w:t>
      </w:r>
      <w:r>
        <w:t xml:space="preserve">. </w:t>
      </w:r>
      <w:r>
        <w:rPr>
          <w:b/>
        </w:rPr>
        <w:t>L’Etat doit tenir sa parole</w:t>
      </w:r>
      <w:r>
        <w:t>. Dans le projet de budget présenté pour 2026, cela impose :</w:t>
      </w:r>
    </w:p>
    <w:p w14:paraId="576797A7" w14:textId="77777777" w:rsidR="00FF2F7C" w:rsidRDefault="00FF2F7C" w:rsidP="00FF2F7C">
      <w:pPr>
        <w:spacing w:after="15"/>
        <w:ind w:left="715"/>
      </w:pPr>
      <w:r>
        <w:rPr>
          <w:rFonts w:ascii="Calibri" w:eastAsia="Calibri" w:hAnsi="Calibri" w:cs="Calibri"/>
        </w:rPr>
        <w:t xml:space="preserve">̶ </w:t>
      </w:r>
      <w:r>
        <w:t>La suppression du DILICO, qui ne devait être instauré que pour un an mais qui serait finalement reconduit et aggravé ;</w:t>
      </w:r>
    </w:p>
    <w:p w14:paraId="3C31D6A2" w14:textId="77777777" w:rsidR="00FF2F7C" w:rsidRDefault="00FF2F7C" w:rsidP="00FF2F7C">
      <w:pPr>
        <w:spacing w:after="15"/>
        <w:ind w:left="715"/>
      </w:pPr>
      <w:r>
        <w:rPr>
          <w:rFonts w:ascii="Calibri" w:eastAsia="Calibri" w:hAnsi="Calibri" w:cs="Calibri"/>
        </w:rPr>
        <w:t xml:space="preserve">̶ </w:t>
      </w:r>
      <w:r>
        <w:t>La suppression de la réduction de la compensation des impôts économiques supprimés, qui avait pourtant été annoncée comme garantie "à l'euro près" ;</w:t>
      </w:r>
    </w:p>
    <w:p w14:paraId="5F03CD15" w14:textId="77777777" w:rsidR="00FF2F7C" w:rsidRDefault="00FF2F7C" w:rsidP="00FF2F7C">
      <w:pPr>
        <w:tabs>
          <w:tab w:val="center" w:pos="360"/>
          <w:tab w:val="center" w:pos="4786"/>
        </w:tabs>
        <w:spacing w:after="3"/>
        <w:ind w:left="0" w:firstLine="0"/>
        <w:jc w:val="left"/>
      </w:pPr>
      <w:r>
        <w:rPr>
          <w:rFonts w:ascii="Calibri" w:eastAsia="Calibri" w:hAnsi="Calibri" w:cs="Calibri"/>
          <w:sz w:val="22"/>
        </w:rPr>
        <w:tab/>
      </w:r>
      <w:r>
        <w:rPr>
          <w:rFonts w:ascii="Calibri" w:eastAsia="Calibri" w:hAnsi="Calibri" w:cs="Calibri"/>
        </w:rPr>
        <w:t>̶</w:t>
      </w:r>
      <w:r>
        <w:rPr>
          <w:rFonts w:ascii="Calibri" w:eastAsia="Calibri" w:hAnsi="Calibri" w:cs="Calibri"/>
        </w:rPr>
        <w:tab/>
      </w:r>
      <w:r>
        <w:t>La suppression des modifications du FCTVA, qui doit demeurer un remboursement ;</w:t>
      </w:r>
    </w:p>
    <w:p w14:paraId="2FDF7C5E" w14:textId="77777777" w:rsidR="00FF2F7C" w:rsidRDefault="00FF2F7C" w:rsidP="00FF2F7C">
      <w:pPr>
        <w:tabs>
          <w:tab w:val="center" w:pos="360"/>
          <w:tab w:val="center" w:pos="4495"/>
        </w:tabs>
        <w:spacing w:after="3"/>
        <w:ind w:left="0" w:firstLine="0"/>
        <w:jc w:val="left"/>
      </w:pPr>
      <w:r>
        <w:rPr>
          <w:rFonts w:ascii="Calibri" w:eastAsia="Calibri" w:hAnsi="Calibri" w:cs="Calibri"/>
          <w:sz w:val="22"/>
        </w:rPr>
        <w:tab/>
      </w:r>
      <w:r>
        <w:rPr>
          <w:rFonts w:ascii="Calibri" w:eastAsia="Calibri" w:hAnsi="Calibri" w:cs="Calibri"/>
        </w:rPr>
        <w:t>̶</w:t>
      </w:r>
      <w:r>
        <w:rPr>
          <w:rFonts w:ascii="Calibri" w:eastAsia="Calibri" w:hAnsi="Calibri" w:cs="Calibri"/>
        </w:rPr>
        <w:tab/>
      </w:r>
      <w:r>
        <w:t>La suppression des coupes budgétaires envisagées dans la mission Outre-mer ;</w:t>
      </w:r>
    </w:p>
    <w:p w14:paraId="2BB2DE8B" w14:textId="77777777" w:rsidR="00FF2F7C" w:rsidRDefault="00FF2F7C" w:rsidP="00FF2F7C">
      <w:pPr>
        <w:tabs>
          <w:tab w:val="center" w:pos="360"/>
          <w:tab w:val="center" w:pos="4686"/>
        </w:tabs>
        <w:spacing w:after="3"/>
        <w:ind w:left="0" w:firstLine="0"/>
        <w:jc w:val="left"/>
      </w:pPr>
      <w:r>
        <w:rPr>
          <w:rFonts w:ascii="Calibri" w:eastAsia="Calibri" w:hAnsi="Calibri" w:cs="Calibri"/>
          <w:sz w:val="22"/>
        </w:rPr>
        <w:tab/>
      </w:r>
      <w:r>
        <w:rPr>
          <w:rFonts w:ascii="Calibri" w:eastAsia="Calibri" w:hAnsi="Calibri" w:cs="Calibri"/>
        </w:rPr>
        <w:t>̶</w:t>
      </w:r>
      <w:r>
        <w:rPr>
          <w:rFonts w:ascii="Calibri" w:eastAsia="Calibri" w:hAnsi="Calibri" w:cs="Calibri"/>
        </w:rPr>
        <w:tab/>
      </w:r>
      <w:r>
        <w:t>La suppression du gel de la DGF et des baisses de crédits dédiés aux collectivités ;</w:t>
      </w:r>
    </w:p>
    <w:p w14:paraId="08103D69" w14:textId="77777777" w:rsidR="00FF2F7C" w:rsidRDefault="00FF2F7C" w:rsidP="00FF2F7C">
      <w:pPr>
        <w:ind w:left="715"/>
      </w:pPr>
      <w:r>
        <w:rPr>
          <w:rFonts w:ascii="Calibri" w:eastAsia="Calibri" w:hAnsi="Calibri" w:cs="Calibri"/>
        </w:rPr>
        <w:t xml:space="preserve">̶ </w:t>
      </w:r>
      <w:r>
        <w:t>La suppression de l'augmentation des cotisations CNRACL, qui n’est pas le seul moyen de rétablir son équilibre financier.</w:t>
      </w:r>
    </w:p>
    <w:p w14:paraId="7210A07C" w14:textId="77777777" w:rsidR="00FF2F7C" w:rsidRDefault="00FF2F7C" w:rsidP="00FF2F7C">
      <w:pPr>
        <w:ind w:left="0" w:firstLine="0"/>
      </w:pPr>
      <w:r>
        <w:lastRenderedPageBreak/>
        <w:t xml:space="preserve">Les communes et intercommunalités ont démontré leur solidité au cours de ce mandat face à toutes les crises. Notre Nation a besoin d’un Etat fort sur ses missions essentielles et de communes libres. </w:t>
      </w:r>
      <w:r>
        <w:rPr>
          <w:b/>
        </w:rPr>
        <w:t>A l’heure où le pays traverse une nouvelle crise, politique et budgétaire, il est urgent de régénérer l’action publique et la démocratie par la liberté locale et la confiance.</w:t>
      </w:r>
    </w:p>
    <w:p w14:paraId="02E9AFDC" w14:textId="77777777" w:rsidR="00FF2F7C" w:rsidRDefault="00FF2F7C" w:rsidP="00FF2F7C">
      <w:pPr>
        <w:numPr>
          <w:ilvl w:val="0"/>
          <w:numId w:val="2"/>
        </w:numPr>
        <w:spacing w:after="8" w:line="251" w:lineRule="auto"/>
        <w:ind w:hanging="253"/>
        <w:jc w:val="left"/>
      </w:pPr>
      <w:r>
        <w:rPr>
          <w:b/>
        </w:rPr>
        <w:t>- Motion de soutien pour la réaffirmation de l'appartenance de la compétence</w:t>
      </w:r>
    </w:p>
    <w:p w14:paraId="5A0C334F" w14:textId="77777777" w:rsidR="00FF2F7C" w:rsidRDefault="00FF2F7C" w:rsidP="00FF2F7C">
      <w:pPr>
        <w:spacing w:after="266" w:line="251" w:lineRule="auto"/>
        <w:ind w:left="-5" w:hanging="10"/>
        <w:jc w:val="left"/>
      </w:pPr>
      <w:r>
        <w:rPr>
          <w:b/>
        </w:rPr>
        <w:t>"distribution d'électricité" au sein du bloc communal proposée par Territoire d'Energie Alsace</w:t>
      </w:r>
    </w:p>
    <w:p w14:paraId="211933DF" w14:textId="77777777" w:rsidR="00FF2F7C" w:rsidRDefault="00FF2F7C" w:rsidP="00FF2F7C">
      <w:pPr>
        <w:ind w:left="0" w:firstLine="0"/>
      </w:pPr>
      <w:r>
        <w:t>Monsieur le Maire fait lecture de la motion proposée par Territoire Energie Alsace :</w:t>
      </w:r>
    </w:p>
    <w:p w14:paraId="5EE7B825" w14:textId="77777777" w:rsidR="00FF2F7C" w:rsidRDefault="00FF2F7C" w:rsidP="00FF2F7C">
      <w:pPr>
        <w:spacing w:after="166" w:line="281" w:lineRule="auto"/>
        <w:ind w:left="0" w:firstLine="0"/>
        <w:jc w:val="left"/>
      </w:pPr>
      <w:r>
        <w:rPr>
          <w:b/>
          <w:u w:val="single" w:color="000000"/>
        </w:rPr>
        <w:t>Motion pour réaffirmer l’appartenance de la compétence « distribution d’électricité » au sein du bloc communal (communes et groupements)</w:t>
      </w:r>
    </w:p>
    <w:p w14:paraId="7A903DE0" w14:textId="77777777" w:rsidR="00FF2F7C" w:rsidRDefault="00FF2F7C" w:rsidP="00FF2F7C">
      <w:pPr>
        <w:numPr>
          <w:ilvl w:val="1"/>
          <w:numId w:val="2"/>
        </w:numPr>
        <w:ind w:hanging="360"/>
      </w:pPr>
      <w:r>
        <w:t xml:space="preserve">Considérant le nouvel acte de décentralisation lancé par le Premier ministre aussitôt après sa nomination le 9 septembre 2025, qui doit se concrétiser sous la forme d’un projet de loi soumis au Parlement avant les élections municipales de mars 2026, afin notamment de clarifier « </w:t>
      </w:r>
      <w:r>
        <w:rPr>
          <w:i/>
        </w:rPr>
        <w:t xml:space="preserve">le qui fait quoi </w:t>
      </w:r>
      <w:r>
        <w:t xml:space="preserve">» dans l’exercice de certaines politiques publiques et de certaines compétences, notamment </w:t>
      </w:r>
      <w:proofErr w:type="gramStart"/>
      <w:r>
        <w:t>au</w:t>
      </w:r>
      <w:proofErr w:type="gramEnd"/>
      <w:r>
        <w:t xml:space="preserve"> plan local ;</w:t>
      </w:r>
    </w:p>
    <w:p w14:paraId="0AA2C3CC" w14:textId="77777777" w:rsidR="00FF2F7C" w:rsidRDefault="00FF2F7C" w:rsidP="00FF2F7C">
      <w:pPr>
        <w:numPr>
          <w:ilvl w:val="1"/>
          <w:numId w:val="2"/>
        </w:numPr>
        <w:ind w:hanging="360"/>
      </w:pPr>
      <w:r>
        <w:t>Considérant la déclaration du Premier ministre lors de son intervention en clôture des assises des départements à Albi le 13 novembre 2025, réitérée ensuite dans un courrier adressé le 24 novembre à tous les Présidents de Conseils départementaux pour confirmer l’intention du Gouvernement de reconnaître le département comme le « chef de file des réseaux de proximité », en renforçant notamment à ce titre son rôle en matière de distribution d’électricité et de gaz, « dans le respect des autres réalisations des autres strates de collectivités, bloc communal et régions » ;</w:t>
      </w:r>
    </w:p>
    <w:p w14:paraId="213E21AF" w14:textId="77777777" w:rsidR="00FF2F7C" w:rsidRDefault="00FF2F7C" w:rsidP="00FF2F7C">
      <w:pPr>
        <w:numPr>
          <w:ilvl w:val="1"/>
          <w:numId w:val="2"/>
        </w:numPr>
        <w:ind w:hanging="360"/>
      </w:pPr>
      <w:r>
        <w:t>Considérant que la distribution d’électricité et de gaz constitue des compétences dévolues au bloc communal (communes et intercommunalités) depuis une loi du 15 juin 1906, qui instaure l’acte de naissance du service public local en matière de distribution d’énergie ;</w:t>
      </w:r>
    </w:p>
    <w:p w14:paraId="679EEF5E" w14:textId="77777777" w:rsidR="00FF2F7C" w:rsidRDefault="00FF2F7C" w:rsidP="00FF2F7C">
      <w:pPr>
        <w:numPr>
          <w:ilvl w:val="1"/>
          <w:numId w:val="2"/>
        </w:numPr>
        <w:ind w:hanging="360"/>
      </w:pPr>
      <w:r>
        <w:t>Considérant que, si à la suite d’une modification de cette loi en 1930 le département s’est vu reconnaître la faculté d’exercer la compétence d’autorité organisatrice de la distribution d’électricité, seuls deux départements (Loiret et Sarthe) ont décidé en pratique de la mettre en œuvre sur une partie de leur territoire, jusqu’à une loi de 2004 qui a mis fin à cette faculté à l’exception des deux départements concernés ;</w:t>
      </w:r>
    </w:p>
    <w:p w14:paraId="5751DD36" w14:textId="77777777" w:rsidR="00FF2F7C" w:rsidRDefault="00FF2F7C" w:rsidP="00FF2F7C">
      <w:pPr>
        <w:numPr>
          <w:ilvl w:val="1"/>
          <w:numId w:val="2"/>
        </w:numPr>
        <w:spacing w:after="166" w:line="281" w:lineRule="auto"/>
        <w:ind w:hanging="360"/>
      </w:pPr>
      <w:r>
        <w:t>Considérant le principe de l’appartenance des réseaux publics de distribution d’électricité et de gaz aux communes et à leurs groupements, en leur qualité d’autorités organisatrices de ces réseaux conformément aux dispositions prévues aux articles L.322.4 et L.432-4 du code de l’énergie ;</w:t>
      </w:r>
    </w:p>
    <w:p w14:paraId="7AA04851" w14:textId="77777777" w:rsidR="00FF2F7C" w:rsidRDefault="00FF2F7C" w:rsidP="00FF2F7C">
      <w:pPr>
        <w:numPr>
          <w:ilvl w:val="1"/>
          <w:numId w:val="2"/>
        </w:numPr>
        <w:ind w:hanging="360"/>
      </w:pPr>
      <w:r>
        <w:t>Considérant que le produit de la taxe départementale sur l’électricité - créée en même temps que la taxe communale par une loi de 1926 et transformée par l’article 54 de la loi de finances pour 2021 en part départementale de l’accise sur l’électricité – que perçoivent les départements n’est plus reversé aujourd’hui - à une ou deux exceptions près - au syndicat d’énergie pour financer des investissements sur les réseaux publics de distribution d’électricité ;</w:t>
      </w:r>
    </w:p>
    <w:p w14:paraId="7203343F" w14:textId="77777777" w:rsidR="00FF2F7C" w:rsidRDefault="00FF2F7C" w:rsidP="00FF2F7C">
      <w:pPr>
        <w:numPr>
          <w:ilvl w:val="1"/>
          <w:numId w:val="2"/>
        </w:numPr>
        <w:ind w:hanging="360"/>
      </w:pPr>
      <w:r>
        <w:t>Considérant la nécessité qu’une partie importante du produit de la taxe communale sur l’électricité soit réinjectée sous la forme d’investissements sur ces réseaux et non affectée à d’autres dépenses, de manière à éviter une augmentation de la facture des consommateurs via une hausse du TURPE ;</w:t>
      </w:r>
    </w:p>
    <w:p w14:paraId="7FF85995" w14:textId="77777777" w:rsidR="00FF2F7C" w:rsidRDefault="00FF2F7C" w:rsidP="00FF2F7C">
      <w:pPr>
        <w:numPr>
          <w:ilvl w:val="1"/>
          <w:numId w:val="2"/>
        </w:numPr>
        <w:ind w:hanging="360"/>
      </w:pPr>
      <w:r>
        <w:t xml:space="preserve">Considérant l’importance des besoins d’investissements sur les réseaux de distribution d’électricité sur le territoire des communes rurales, pour maintenir un niveau de qualité satisfaisant par rapport aux zones urbaines et éviter ainsi l’apparition de fractures territoriales, pour renforcer la sécurité des ouvrages soumis aux changements climatiques (évènements de plus en plus fréquents et intenses qui </w:t>
      </w:r>
      <w:r>
        <w:lastRenderedPageBreak/>
        <w:t>endommagent les réseaux et provoquent des coupures subies par les usagers), ou encore pour adapter les réseaux aux enjeux de la transition énergétique en raccordant des installations de production d’électricité à l’aide d’énergies renouvelables de plus en plus nombreuses, et plus largement pour accompagner l’électrification des usages ;</w:t>
      </w:r>
    </w:p>
    <w:p w14:paraId="75919D57" w14:textId="77777777" w:rsidR="00FF2F7C" w:rsidRDefault="00FF2F7C" w:rsidP="00FF2F7C">
      <w:pPr>
        <w:numPr>
          <w:ilvl w:val="1"/>
          <w:numId w:val="2"/>
        </w:numPr>
        <w:ind w:hanging="360"/>
      </w:pPr>
      <w:r>
        <w:t>Considérant le rôle majeur que jouent les grands syndicats d’énergie dans la mise en œuvre de la transition énergétique pour le compte de leurs membres, comme certains rapports le montrent avec des données objectives, notamment ceux d’observations de certaines chambres régionales de comptés ;</w:t>
      </w:r>
    </w:p>
    <w:p w14:paraId="6E4E0851" w14:textId="77777777" w:rsidR="00FF2F7C" w:rsidRDefault="00FF2F7C" w:rsidP="00FF2F7C">
      <w:pPr>
        <w:spacing w:after="193" w:line="251" w:lineRule="auto"/>
        <w:ind w:left="-5" w:hanging="10"/>
        <w:jc w:val="left"/>
      </w:pPr>
      <w:r>
        <w:rPr>
          <w:b/>
        </w:rPr>
        <w:t>ESTIMENT</w:t>
      </w:r>
    </w:p>
    <w:p w14:paraId="42A1F30D" w14:textId="77777777" w:rsidR="00FF2F7C" w:rsidRDefault="00FF2F7C" w:rsidP="00FF2F7C">
      <w:pPr>
        <w:numPr>
          <w:ilvl w:val="1"/>
          <w:numId w:val="2"/>
        </w:numPr>
        <w:spacing w:after="17"/>
        <w:ind w:hanging="360"/>
      </w:pPr>
      <w:r>
        <w:t>Que la proposition de reconnaître au département un rôle de chef de file en matière de distribution d’électricité et de gaz, qui constituent des compétences attribuées par le législateur au bloc communal, est en contradiction avec l’objectif du nouvel acte de décentralisation qui entend clarifier l’exercice de certaines compétences ;</w:t>
      </w:r>
    </w:p>
    <w:p w14:paraId="59F61BA7" w14:textId="77777777" w:rsidR="00FF2F7C" w:rsidRDefault="00FF2F7C" w:rsidP="00FF2F7C">
      <w:pPr>
        <w:numPr>
          <w:ilvl w:val="1"/>
          <w:numId w:val="2"/>
        </w:numPr>
        <w:ind w:hanging="360"/>
      </w:pPr>
      <w:r>
        <w:t>Qu’il convient au contraire, à travers les grands syndicats intercommunaux de taille départementale dont les communes sont membres sur la base du volontariat, de préserver les grandes concessions de distribution d’électricité composées de zones à la fois urbaines et rurales réunies au sein d’un même espace de solidarité, de proximité et d’efficacité, plutôt que de prendre le risque de créer de nouvelles fractures territoriales ;</w:t>
      </w:r>
    </w:p>
    <w:p w14:paraId="518FBF04" w14:textId="77777777" w:rsidR="00FF2F7C" w:rsidRDefault="00FF2F7C" w:rsidP="00FF2F7C">
      <w:pPr>
        <w:spacing w:after="199" w:line="251" w:lineRule="auto"/>
        <w:ind w:left="-5" w:hanging="10"/>
        <w:jc w:val="left"/>
      </w:pPr>
      <w:r>
        <w:rPr>
          <w:b/>
        </w:rPr>
        <w:t>DEMANDENT AU GOUVERNEMENT :</w:t>
      </w:r>
    </w:p>
    <w:p w14:paraId="129FE522" w14:textId="77777777" w:rsidR="00FF2F7C" w:rsidRDefault="00FF2F7C" w:rsidP="00FF2F7C">
      <w:pPr>
        <w:numPr>
          <w:ilvl w:val="1"/>
          <w:numId w:val="2"/>
        </w:numPr>
        <w:spacing w:after="17"/>
        <w:ind w:hanging="360"/>
      </w:pPr>
      <w:r>
        <w:t>De renoncer au projet de faire du département le chef de file des réseaux publics de distribution d’électricité et de gaz, sans préciser en quoi cette évolution pourrait consister plus concrètement ;</w:t>
      </w:r>
    </w:p>
    <w:p w14:paraId="1B25F350" w14:textId="77777777" w:rsidR="00FF2F7C" w:rsidRDefault="00FF2F7C" w:rsidP="00FF2F7C">
      <w:pPr>
        <w:numPr>
          <w:ilvl w:val="1"/>
          <w:numId w:val="2"/>
        </w:numPr>
        <w:spacing w:after="17"/>
        <w:ind w:hanging="360"/>
      </w:pPr>
      <w:r>
        <w:t>De maintenir la compétence d’autorité organisatrice des réseaux publics de distribution d’électricité comme une compétence exclusive du bloc communal (hormis pour les deux départements concernés à titre dérogatoire), en conformité avec l'esprit du nouvel acte de décentralisation qui ne doit pas remettre en cause une organisation qui fonctionne en ayant fait les preuves de son efficacité ;</w:t>
      </w:r>
    </w:p>
    <w:p w14:paraId="19F4131D" w14:textId="77777777" w:rsidR="00FF2F7C" w:rsidRDefault="00FF2F7C" w:rsidP="00FF2F7C">
      <w:pPr>
        <w:numPr>
          <w:ilvl w:val="1"/>
          <w:numId w:val="2"/>
        </w:numPr>
        <w:ind w:hanging="360"/>
      </w:pPr>
      <w:r>
        <w:t>Pour la distribution de gaz, d’initier un processus de regroupement du pouvoir concédant à l’échelle du territoire départemental, comparable à celui adopté pour la distribution d’électricité dans la loi de 2006 relative au secteur de l’énergie, mené sous l’égide du préfet selon les modalités prévues au IV de l’article L.2224-31 du CGCT.</w:t>
      </w:r>
    </w:p>
    <w:p w14:paraId="132A57F1" w14:textId="77777777" w:rsidR="000432C0" w:rsidRDefault="000432C0"/>
    <w:sectPr w:rsidR="000432C0" w:rsidSect="00FF2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A5890"/>
    <w:multiLevelType w:val="hybridMultilevel"/>
    <w:tmpl w:val="0A329E28"/>
    <w:lvl w:ilvl="0" w:tplc="F68603D4">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D0A9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F4AE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366A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78C5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C0FE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ACE1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148C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0EEB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994021"/>
    <w:multiLevelType w:val="hybridMultilevel"/>
    <w:tmpl w:val="E9C6E3D4"/>
    <w:lvl w:ilvl="0" w:tplc="B6EE76CE">
      <w:start w:val="5"/>
      <w:numFmt w:val="decimal"/>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D83696">
      <w:start w:val="1"/>
      <w:numFmt w:val="bullet"/>
      <w:lvlText w:val="•"/>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A4470D2">
      <w:start w:val="1"/>
      <w:numFmt w:val="bullet"/>
      <w:lvlText w:val="▪"/>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E12990A">
      <w:start w:val="1"/>
      <w:numFmt w:val="bullet"/>
      <w:lvlText w:val="•"/>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BE8B256">
      <w:start w:val="1"/>
      <w:numFmt w:val="bullet"/>
      <w:lvlText w:val="o"/>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9247212">
      <w:start w:val="1"/>
      <w:numFmt w:val="bullet"/>
      <w:lvlText w:val="▪"/>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F6C18BC">
      <w:start w:val="1"/>
      <w:numFmt w:val="bullet"/>
      <w:lvlText w:val="•"/>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102FDB4">
      <w:start w:val="1"/>
      <w:numFmt w:val="bullet"/>
      <w:lvlText w:val="o"/>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C3C9EBA">
      <w:start w:val="1"/>
      <w:numFmt w:val="bullet"/>
      <w:lvlText w:val="▪"/>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150442427">
    <w:abstractNumId w:val="0"/>
  </w:num>
  <w:num w:numId="2" w16cid:durableId="141088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C"/>
    <w:rsid w:val="000432C0"/>
    <w:rsid w:val="00485171"/>
    <w:rsid w:val="00ED6C58"/>
    <w:rsid w:val="00FF2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DF48"/>
  <w15:chartTrackingRefBased/>
  <w15:docId w15:val="{C29E2DED-903E-4CCF-BF31-CD5C40F1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F7C"/>
    <w:pPr>
      <w:spacing w:after="174" w:line="270" w:lineRule="auto"/>
      <w:ind w:left="370" w:hanging="370"/>
      <w:jc w:val="both"/>
    </w:pPr>
    <w:rPr>
      <w:rFonts w:ascii="Times New Roman" w:eastAsia="Times New Roman" w:hAnsi="Times New Roman" w:cs="Times New Roman"/>
      <w:color w:val="000000"/>
      <w:lang w:eastAsia="fr-FR"/>
    </w:rPr>
  </w:style>
  <w:style w:type="paragraph" w:styleId="Titre1">
    <w:name w:val="heading 1"/>
    <w:basedOn w:val="Normal"/>
    <w:next w:val="Normal"/>
    <w:link w:val="Titre1Car"/>
    <w:uiPriority w:val="9"/>
    <w:qFormat/>
    <w:rsid w:val="00FF2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2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2F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2F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2F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2F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2F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2F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2F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F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2F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2F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2F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2F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2F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2F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2F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2F7C"/>
    <w:rPr>
      <w:rFonts w:eastAsiaTheme="majorEastAsia" w:cstheme="majorBidi"/>
      <w:color w:val="272727" w:themeColor="text1" w:themeTint="D8"/>
    </w:rPr>
  </w:style>
  <w:style w:type="paragraph" w:styleId="Titre">
    <w:name w:val="Title"/>
    <w:basedOn w:val="Normal"/>
    <w:next w:val="Normal"/>
    <w:link w:val="TitreCar"/>
    <w:uiPriority w:val="10"/>
    <w:qFormat/>
    <w:rsid w:val="00FF2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2F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2F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2F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2F7C"/>
    <w:pPr>
      <w:spacing w:before="160"/>
      <w:jc w:val="center"/>
    </w:pPr>
    <w:rPr>
      <w:i/>
      <w:iCs/>
      <w:color w:val="404040" w:themeColor="text1" w:themeTint="BF"/>
    </w:rPr>
  </w:style>
  <w:style w:type="character" w:customStyle="1" w:styleId="CitationCar">
    <w:name w:val="Citation Car"/>
    <w:basedOn w:val="Policepardfaut"/>
    <w:link w:val="Citation"/>
    <w:uiPriority w:val="29"/>
    <w:rsid w:val="00FF2F7C"/>
    <w:rPr>
      <w:i/>
      <w:iCs/>
      <w:color w:val="404040" w:themeColor="text1" w:themeTint="BF"/>
    </w:rPr>
  </w:style>
  <w:style w:type="paragraph" w:styleId="Paragraphedeliste">
    <w:name w:val="List Paragraph"/>
    <w:basedOn w:val="Normal"/>
    <w:uiPriority w:val="34"/>
    <w:qFormat/>
    <w:rsid w:val="00FF2F7C"/>
    <w:pPr>
      <w:ind w:left="720"/>
      <w:contextualSpacing/>
    </w:pPr>
  </w:style>
  <w:style w:type="character" w:styleId="Accentuationintense">
    <w:name w:val="Intense Emphasis"/>
    <w:basedOn w:val="Policepardfaut"/>
    <w:uiPriority w:val="21"/>
    <w:qFormat/>
    <w:rsid w:val="00FF2F7C"/>
    <w:rPr>
      <w:i/>
      <w:iCs/>
      <w:color w:val="0F4761" w:themeColor="accent1" w:themeShade="BF"/>
    </w:rPr>
  </w:style>
  <w:style w:type="paragraph" w:styleId="Citationintense">
    <w:name w:val="Intense Quote"/>
    <w:basedOn w:val="Normal"/>
    <w:next w:val="Normal"/>
    <w:link w:val="CitationintenseCar"/>
    <w:uiPriority w:val="30"/>
    <w:qFormat/>
    <w:rsid w:val="00FF2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2F7C"/>
    <w:rPr>
      <w:i/>
      <w:iCs/>
      <w:color w:val="0F4761" w:themeColor="accent1" w:themeShade="BF"/>
    </w:rPr>
  </w:style>
  <w:style w:type="character" w:styleId="Rfrenceintense">
    <w:name w:val="Intense Reference"/>
    <w:basedOn w:val="Policepardfaut"/>
    <w:uiPriority w:val="32"/>
    <w:qFormat/>
    <w:rsid w:val="00FF2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8070</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Riff</dc:creator>
  <cp:keywords/>
  <dc:description/>
  <cp:lastModifiedBy>Vincent Riff</cp:lastModifiedBy>
  <cp:revision>1</cp:revision>
  <dcterms:created xsi:type="dcterms:W3CDTF">2026-02-18T17:23:00Z</dcterms:created>
  <dcterms:modified xsi:type="dcterms:W3CDTF">2026-02-18T17:24:00Z</dcterms:modified>
</cp:coreProperties>
</file>